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DDEA" w14:textId="77777777" w:rsidR="00394C7E" w:rsidRPr="00394C7E" w:rsidRDefault="00394C7E" w:rsidP="00394C7E">
      <w:pPr>
        <w:jc w:val="center"/>
        <w:rPr>
          <w:sz w:val="36"/>
          <w:szCs w:val="36"/>
        </w:rPr>
      </w:pPr>
      <w:r w:rsidRPr="00394C7E">
        <w:rPr>
          <w:sz w:val="36"/>
          <w:szCs w:val="36"/>
        </w:rPr>
        <w:t>Campus Hazing Transparency Report</w:t>
      </w:r>
    </w:p>
    <w:p w14:paraId="74182D62" w14:textId="356E6F17" w:rsidR="000430A5" w:rsidRDefault="00394C7E" w:rsidP="00394C7E">
      <w:pPr>
        <w:jc w:val="center"/>
      </w:pPr>
      <w:r>
        <w:t>Updated November 30, 2025</w:t>
      </w:r>
      <w:r>
        <w:br/>
      </w:r>
    </w:p>
    <w:p w14:paraId="36D3064F" w14:textId="41B6081E" w:rsidR="002F5662" w:rsidRDefault="00EA6BFA" w:rsidP="00223C3D">
      <w:pPr>
        <w:spacing w:after="280"/>
      </w:pPr>
      <w:r>
        <w:t>In alignment</w:t>
      </w:r>
      <w:r w:rsidRPr="00EA6BFA">
        <w:t xml:space="preserve"> with the </w:t>
      </w:r>
      <w:hyperlink r:id="rId6" w:history="1">
        <w:r w:rsidRPr="00D54783">
          <w:rPr>
            <w:rStyle w:val="Hyperlink"/>
          </w:rPr>
          <w:t>Stop Campus Hazing Act</w:t>
        </w:r>
      </w:hyperlink>
      <w:r w:rsidRPr="00EA6BFA">
        <w:t>, Alfred State College compiles and publishes this report to provide transparency regarding hazing misconduct involving student organizations. Each incident summary includes: the name of the organization found in violation; the date</w:t>
      </w:r>
      <w:r w:rsidR="000D0EF7">
        <w:t xml:space="preserve"> of the hazing incident; the date</w:t>
      </w:r>
      <w:r w:rsidRPr="00EA6BFA">
        <w:t xml:space="preserve"> the behavior was reported to the College; the duration of the subsequent investigation; the date the organization was notified of the violation determination; a description of the findings; and whether the hazing behavior involved the abuse or illegal use of alcohol or drugs.</w:t>
      </w:r>
      <w:r w:rsidR="00FA54E9">
        <w:t xml:space="preserve"> </w:t>
      </w:r>
      <w:r w:rsidR="00745489" w:rsidRPr="00745489">
        <w:t>Unless otherwise indicated, the notification date reflects the date on which the organization was found responsible for the violation.</w:t>
      </w:r>
    </w:p>
    <w:p w14:paraId="6C93DA1B" w14:textId="4006E8B6" w:rsidR="002F5662" w:rsidRDefault="002F5662" w:rsidP="00223C3D">
      <w:pPr>
        <w:spacing w:after="280"/>
      </w:pPr>
      <w:r w:rsidRPr="002F5662">
        <w:t xml:space="preserve">In alignment with the Stop Campus Hazing Act, Alfred State College publishes this report to promote transparency regarding hazing misconduct by student organizations. Each summary </w:t>
      </w:r>
      <w:r w:rsidR="009C7AA9">
        <w:t xml:space="preserve">below </w:t>
      </w:r>
      <w:r w:rsidRPr="002F5662">
        <w:t>includes: the organization’s name; dates of the incident, report, and notification; investigation duration; findings; and whether alcohol or drugs were involved. Unless otherwise noted, the notification date is the same as the date the organization was found responsible.</w:t>
      </w:r>
    </w:p>
    <w:p w14:paraId="3C5A48B9" w14:textId="191CB460" w:rsidR="00CE5EE4" w:rsidRDefault="00CE5EE4" w:rsidP="00223C3D">
      <w:pPr>
        <w:spacing w:after="280"/>
      </w:pPr>
      <w:r w:rsidRPr="00CE5EE4">
        <w:t xml:space="preserve">This report is updated at least twice per year. </w:t>
      </w:r>
      <w:r w:rsidR="00B90E55">
        <w:t>Hazing statist</w:t>
      </w:r>
      <w:r w:rsidR="00005A3B">
        <w:t xml:space="preserve">ics will also be included in the </w:t>
      </w:r>
      <w:r w:rsidR="00005A3B" w:rsidRPr="00CE5EE4">
        <w:t xml:space="preserve">College’s </w:t>
      </w:r>
      <w:hyperlink r:id="rId7" w:history="1">
        <w:r w:rsidR="00005A3B" w:rsidRPr="002639B4">
          <w:rPr>
            <w:rStyle w:val="Hyperlink"/>
          </w:rPr>
          <w:t>Annual Security and Fire Safety Report</w:t>
        </w:r>
      </w:hyperlink>
      <w:r w:rsidR="00005A3B">
        <w:t xml:space="preserve"> b</w:t>
      </w:r>
      <w:r w:rsidRPr="00CE5EE4">
        <w:t>eginning with the 2026 edition (issued in 2027)</w:t>
      </w:r>
      <w:r w:rsidR="00005A3B">
        <w:t xml:space="preserve">. </w:t>
      </w:r>
      <w:r w:rsidRPr="00CE5EE4">
        <w:t>Th</w:t>
      </w:r>
      <w:r w:rsidR="00005A3B">
        <w:t>o</w:t>
      </w:r>
      <w:r w:rsidRPr="00CE5EE4">
        <w:t>se statistics will reflect incident reports that meet the federal definition of hazing as specified in the Stop Campus Hazing Act. However, they do not represent confirmed findings of hazing behavior, which are detailed in this report.</w:t>
      </w:r>
    </w:p>
    <w:p w14:paraId="224C0550" w14:textId="0FCCD2CE" w:rsidR="000430A5" w:rsidRDefault="000430A5"/>
    <w:p w14:paraId="735A1357" w14:textId="77777777" w:rsidR="00C76AEF" w:rsidRDefault="00C76AEF"/>
    <w:p w14:paraId="4050E544" w14:textId="77777777" w:rsidR="006B4B3B" w:rsidRDefault="006B4B3B"/>
    <w:p w14:paraId="692F538C" w14:textId="77777777" w:rsidR="000430A5" w:rsidRDefault="000430A5"/>
    <w:p w14:paraId="05A47CA1" w14:textId="77777777" w:rsidR="00223C3D" w:rsidRDefault="00223C3D"/>
    <w:p w14:paraId="737D83FA" w14:textId="77777777" w:rsidR="000430A5" w:rsidRDefault="000430A5"/>
    <w:p w14:paraId="0A929912" w14:textId="77777777" w:rsidR="000430A5" w:rsidRDefault="000430A5"/>
    <w:tbl>
      <w:tblPr>
        <w:tblStyle w:val="TableGrid"/>
        <w:tblW w:w="0" w:type="auto"/>
        <w:tblLook w:val="04A0" w:firstRow="1" w:lastRow="0" w:firstColumn="1" w:lastColumn="0" w:noHBand="0" w:noVBand="1"/>
      </w:tblPr>
      <w:tblGrid>
        <w:gridCol w:w="3415"/>
        <w:gridCol w:w="5935"/>
      </w:tblGrid>
      <w:tr w:rsidR="003752E6" w14:paraId="06DD4DCF" w14:textId="77777777" w:rsidTr="00714601">
        <w:trPr>
          <w:trHeight w:val="440"/>
        </w:trPr>
        <w:tc>
          <w:tcPr>
            <w:tcW w:w="9350" w:type="dxa"/>
            <w:gridSpan w:val="2"/>
            <w:shd w:val="clear" w:color="auto" w:fill="003C71"/>
            <w:vAlign w:val="center"/>
          </w:tcPr>
          <w:p w14:paraId="5D18435E" w14:textId="377144F8" w:rsidR="003752E6" w:rsidRPr="003752E6" w:rsidRDefault="003752E6" w:rsidP="003752E6">
            <w:pPr>
              <w:rPr>
                <w:b/>
                <w:bCs/>
                <w:sz w:val="28"/>
                <w:szCs w:val="28"/>
              </w:rPr>
            </w:pPr>
            <w:r w:rsidRPr="003752E6">
              <w:rPr>
                <w:b/>
                <w:bCs/>
                <w:color w:val="FFFFFF" w:themeColor="background1"/>
                <w:sz w:val="28"/>
                <w:szCs w:val="28"/>
              </w:rPr>
              <w:lastRenderedPageBreak/>
              <w:t>Mu Theta</w:t>
            </w:r>
          </w:p>
        </w:tc>
      </w:tr>
      <w:tr w:rsidR="003752E6" w14:paraId="629CC8FE" w14:textId="77777777" w:rsidTr="00714601">
        <w:trPr>
          <w:trHeight w:val="403"/>
        </w:trPr>
        <w:tc>
          <w:tcPr>
            <w:tcW w:w="3415" w:type="dxa"/>
            <w:shd w:val="clear" w:color="auto" w:fill="0085CA"/>
            <w:vAlign w:val="center"/>
          </w:tcPr>
          <w:p w14:paraId="72FEBDD0" w14:textId="344DA36C" w:rsidR="003752E6" w:rsidRPr="00735694" w:rsidRDefault="003752E6" w:rsidP="00735694">
            <w:pPr>
              <w:rPr>
                <w:b/>
                <w:bCs/>
                <w:color w:val="FFFFFF" w:themeColor="background1"/>
              </w:rPr>
            </w:pPr>
            <w:r w:rsidRPr="00735694">
              <w:rPr>
                <w:b/>
                <w:bCs/>
                <w:color w:val="FFFFFF" w:themeColor="background1"/>
              </w:rPr>
              <w:t>Date of Hazing Incident(s)</w:t>
            </w:r>
          </w:p>
        </w:tc>
        <w:tc>
          <w:tcPr>
            <w:tcW w:w="5935" w:type="dxa"/>
            <w:vAlign w:val="center"/>
          </w:tcPr>
          <w:p w14:paraId="31C4B692" w14:textId="7196BF63" w:rsidR="003752E6" w:rsidRDefault="001C4933" w:rsidP="00735694">
            <w:r>
              <w:t>February 20, 2025</w:t>
            </w:r>
          </w:p>
        </w:tc>
      </w:tr>
      <w:tr w:rsidR="003752E6" w14:paraId="5EEDD502" w14:textId="77777777" w:rsidTr="00714601">
        <w:trPr>
          <w:trHeight w:val="403"/>
        </w:trPr>
        <w:tc>
          <w:tcPr>
            <w:tcW w:w="3415" w:type="dxa"/>
            <w:shd w:val="clear" w:color="auto" w:fill="0085CA"/>
            <w:vAlign w:val="center"/>
          </w:tcPr>
          <w:p w14:paraId="33D79CD4" w14:textId="39858BEC" w:rsidR="003752E6" w:rsidRPr="00735694" w:rsidRDefault="003752E6" w:rsidP="00735694">
            <w:pPr>
              <w:rPr>
                <w:b/>
                <w:bCs/>
                <w:color w:val="FFFFFF" w:themeColor="background1"/>
              </w:rPr>
            </w:pPr>
            <w:r w:rsidRPr="00735694">
              <w:rPr>
                <w:b/>
                <w:bCs/>
                <w:color w:val="FFFFFF" w:themeColor="background1"/>
              </w:rPr>
              <w:t>Date Reported</w:t>
            </w:r>
          </w:p>
        </w:tc>
        <w:tc>
          <w:tcPr>
            <w:tcW w:w="5935" w:type="dxa"/>
            <w:vAlign w:val="center"/>
          </w:tcPr>
          <w:p w14:paraId="71A841B6" w14:textId="604ADD3A" w:rsidR="003752E6" w:rsidRDefault="00FD5240" w:rsidP="00735694">
            <w:r>
              <w:t>February 25, 2025</w:t>
            </w:r>
          </w:p>
        </w:tc>
      </w:tr>
      <w:tr w:rsidR="003752E6" w14:paraId="0D26241C" w14:textId="77777777" w:rsidTr="00714601">
        <w:trPr>
          <w:trHeight w:val="403"/>
        </w:trPr>
        <w:tc>
          <w:tcPr>
            <w:tcW w:w="3415" w:type="dxa"/>
            <w:shd w:val="clear" w:color="auto" w:fill="0085CA"/>
            <w:vAlign w:val="center"/>
          </w:tcPr>
          <w:p w14:paraId="6EEA8C59" w14:textId="678691A1" w:rsidR="003752E6" w:rsidRPr="00735694" w:rsidRDefault="006D0AEB" w:rsidP="00735694">
            <w:pPr>
              <w:rPr>
                <w:b/>
                <w:bCs/>
                <w:color w:val="FFFFFF" w:themeColor="background1"/>
              </w:rPr>
            </w:pPr>
            <w:r>
              <w:rPr>
                <w:b/>
                <w:bCs/>
                <w:color w:val="FFFFFF" w:themeColor="background1"/>
              </w:rPr>
              <w:t>Dates of Investigation</w:t>
            </w:r>
          </w:p>
        </w:tc>
        <w:tc>
          <w:tcPr>
            <w:tcW w:w="5935" w:type="dxa"/>
            <w:vAlign w:val="center"/>
          </w:tcPr>
          <w:p w14:paraId="37171FA7" w14:textId="5FD8D2BB" w:rsidR="003752E6" w:rsidRDefault="001C4933" w:rsidP="00735694">
            <w:r>
              <w:t>February 26, 2025</w:t>
            </w:r>
            <w:r w:rsidR="006D0AEB">
              <w:t xml:space="preserve"> - October 2, 2025</w:t>
            </w:r>
          </w:p>
        </w:tc>
      </w:tr>
      <w:tr w:rsidR="003752E6" w14:paraId="4525E7A5" w14:textId="77777777" w:rsidTr="00714601">
        <w:trPr>
          <w:trHeight w:val="403"/>
        </w:trPr>
        <w:tc>
          <w:tcPr>
            <w:tcW w:w="3415" w:type="dxa"/>
            <w:shd w:val="clear" w:color="auto" w:fill="0085CA"/>
            <w:vAlign w:val="center"/>
          </w:tcPr>
          <w:p w14:paraId="2840333E" w14:textId="462FB4C6" w:rsidR="003752E6" w:rsidRPr="00735694" w:rsidRDefault="00735694" w:rsidP="00735694">
            <w:pPr>
              <w:rPr>
                <w:b/>
                <w:bCs/>
                <w:color w:val="FFFFFF" w:themeColor="background1"/>
              </w:rPr>
            </w:pPr>
            <w:r w:rsidRPr="00735694">
              <w:rPr>
                <w:b/>
                <w:bCs/>
                <w:color w:val="FFFFFF" w:themeColor="background1"/>
              </w:rPr>
              <w:t xml:space="preserve">Notice of Violation Issued </w:t>
            </w:r>
          </w:p>
        </w:tc>
        <w:tc>
          <w:tcPr>
            <w:tcW w:w="5935" w:type="dxa"/>
            <w:vAlign w:val="center"/>
          </w:tcPr>
          <w:p w14:paraId="41FA94A9" w14:textId="4C424EFB" w:rsidR="003752E6" w:rsidRDefault="001C4933" w:rsidP="00735694">
            <w:r>
              <w:t>October 2, 2025</w:t>
            </w:r>
          </w:p>
        </w:tc>
      </w:tr>
      <w:tr w:rsidR="003752E6" w14:paraId="7DF3C693" w14:textId="77777777" w:rsidTr="00714601">
        <w:trPr>
          <w:trHeight w:val="403"/>
        </w:trPr>
        <w:tc>
          <w:tcPr>
            <w:tcW w:w="3415" w:type="dxa"/>
            <w:shd w:val="clear" w:color="auto" w:fill="0085CA"/>
            <w:vAlign w:val="center"/>
          </w:tcPr>
          <w:p w14:paraId="50673E45" w14:textId="4EB1E5C9" w:rsidR="003752E6" w:rsidRPr="00735694" w:rsidRDefault="00363B81" w:rsidP="00735694">
            <w:pPr>
              <w:rPr>
                <w:b/>
                <w:bCs/>
                <w:color w:val="FFFFFF" w:themeColor="background1"/>
              </w:rPr>
            </w:pPr>
            <w:r w:rsidRPr="00735694">
              <w:rPr>
                <w:b/>
                <w:bCs/>
                <w:color w:val="FFFFFF" w:themeColor="background1"/>
              </w:rPr>
              <w:t>Policy Violations</w:t>
            </w:r>
          </w:p>
        </w:tc>
        <w:tc>
          <w:tcPr>
            <w:tcW w:w="5935" w:type="dxa"/>
            <w:vAlign w:val="center"/>
          </w:tcPr>
          <w:p w14:paraId="23CCAC1E" w14:textId="3B1A642E" w:rsidR="003752E6" w:rsidRDefault="003C18E3" w:rsidP="00735694">
            <w:r>
              <w:t>15.1, Hazing</w:t>
            </w:r>
          </w:p>
        </w:tc>
      </w:tr>
      <w:tr w:rsidR="003752E6" w14:paraId="52ADB7D1" w14:textId="77777777" w:rsidTr="00CF4E4A">
        <w:trPr>
          <w:trHeight w:val="403"/>
        </w:trPr>
        <w:tc>
          <w:tcPr>
            <w:tcW w:w="3415" w:type="dxa"/>
            <w:tcBorders>
              <w:bottom w:val="nil"/>
            </w:tcBorders>
            <w:shd w:val="clear" w:color="auto" w:fill="0085CA"/>
            <w:vAlign w:val="center"/>
          </w:tcPr>
          <w:p w14:paraId="5A346D05" w14:textId="3F69F3AE" w:rsidR="003752E6" w:rsidRPr="00735694" w:rsidRDefault="00363B81" w:rsidP="00735694">
            <w:pPr>
              <w:rPr>
                <w:b/>
                <w:bCs/>
                <w:color w:val="FFFFFF" w:themeColor="background1"/>
              </w:rPr>
            </w:pPr>
            <w:r w:rsidRPr="00735694">
              <w:rPr>
                <w:b/>
                <w:bCs/>
                <w:color w:val="FFFFFF" w:themeColor="background1"/>
              </w:rPr>
              <w:t>Sanctions</w:t>
            </w:r>
          </w:p>
        </w:tc>
        <w:tc>
          <w:tcPr>
            <w:tcW w:w="5935" w:type="dxa"/>
            <w:tcBorders>
              <w:bottom w:val="nil"/>
            </w:tcBorders>
            <w:vAlign w:val="center"/>
          </w:tcPr>
          <w:p w14:paraId="28474EFB" w14:textId="62C7E20B" w:rsidR="003752E6" w:rsidRDefault="003C18E3" w:rsidP="00735694">
            <w:r>
              <w:t>Disciplinary Probation (see below)</w:t>
            </w:r>
          </w:p>
        </w:tc>
      </w:tr>
      <w:tr w:rsidR="003752E6" w14:paraId="5223FC77" w14:textId="77777777" w:rsidTr="00EB4932">
        <w:trPr>
          <w:trHeight w:val="446"/>
        </w:trPr>
        <w:tc>
          <w:tcPr>
            <w:tcW w:w="9350" w:type="dxa"/>
            <w:gridSpan w:val="2"/>
            <w:tcBorders>
              <w:top w:val="nil"/>
              <w:left w:val="single" w:sz="4" w:space="0" w:color="auto"/>
              <w:bottom w:val="nil"/>
              <w:right w:val="single" w:sz="4" w:space="0" w:color="auto"/>
            </w:tcBorders>
            <w:shd w:val="clear" w:color="auto" w:fill="003C71"/>
            <w:vAlign w:val="center"/>
          </w:tcPr>
          <w:p w14:paraId="6CF37031" w14:textId="1928CE19" w:rsidR="003752E6" w:rsidRPr="00714601" w:rsidRDefault="003752E6" w:rsidP="00735694">
            <w:pPr>
              <w:jc w:val="center"/>
              <w:rPr>
                <w:b/>
                <w:bCs/>
              </w:rPr>
            </w:pPr>
            <w:r w:rsidRPr="00714601">
              <w:rPr>
                <w:b/>
                <w:bCs/>
              </w:rPr>
              <w:t>Description of Hazing Incident(s)</w:t>
            </w:r>
          </w:p>
        </w:tc>
      </w:tr>
      <w:tr w:rsidR="003752E6" w14:paraId="70A18AD5" w14:textId="77777777" w:rsidTr="00CF4E4A">
        <w:trPr>
          <w:trHeight w:val="1430"/>
        </w:trPr>
        <w:tc>
          <w:tcPr>
            <w:tcW w:w="9350" w:type="dxa"/>
            <w:gridSpan w:val="2"/>
            <w:tcBorders>
              <w:top w:val="nil"/>
            </w:tcBorders>
          </w:tcPr>
          <w:p w14:paraId="44B14F09" w14:textId="2EABB2E5" w:rsidR="003752E6" w:rsidRDefault="005416BB">
            <w:r>
              <w:br/>
            </w:r>
            <w:r w:rsidRPr="005416BB">
              <w:t xml:space="preserve">Following an investigation in which </w:t>
            </w:r>
            <w:r>
              <w:t xml:space="preserve">Mu Theta was cooperative and acknowledged responsibility for misconduct, the College </w:t>
            </w:r>
            <w:r w:rsidRPr="005416BB">
              <w:t xml:space="preserve">found sufficient evidence to support that </w:t>
            </w:r>
            <w:r w:rsidR="005E434A">
              <w:t xml:space="preserve">the organization </w:t>
            </w:r>
            <w:r w:rsidRPr="005416BB">
              <w:t>engaged in the following hazing behavior</w:t>
            </w:r>
            <w:r w:rsidR="00150D45">
              <w:t>(</w:t>
            </w:r>
            <w:r w:rsidRPr="005416BB">
              <w:t>s</w:t>
            </w:r>
            <w:r w:rsidR="00150D45">
              <w:t>)</w:t>
            </w:r>
            <w:r w:rsidRPr="005416BB">
              <w:t>:</w:t>
            </w:r>
          </w:p>
          <w:p w14:paraId="53DF6020" w14:textId="77777777" w:rsidR="005416BB" w:rsidRDefault="005416BB"/>
          <w:p w14:paraId="389A5D5F" w14:textId="39546A36" w:rsidR="00150D45" w:rsidRDefault="00035D04" w:rsidP="00150D45">
            <w:pPr>
              <w:pStyle w:val="ListParagraph"/>
              <w:numPr>
                <w:ilvl w:val="0"/>
                <w:numId w:val="1"/>
              </w:numPr>
            </w:pPr>
            <w:r>
              <w:t xml:space="preserve">A new member was sanctioned and encouraged by </w:t>
            </w:r>
            <w:r w:rsidR="00BC3B4A">
              <w:t xml:space="preserve">one or more active members </w:t>
            </w:r>
            <w:r w:rsidR="00604F01">
              <w:t xml:space="preserve">to chase </w:t>
            </w:r>
            <w:r w:rsidR="00CF7D21">
              <w:t xml:space="preserve">and strike an </w:t>
            </w:r>
            <w:r w:rsidR="00B51EA6">
              <w:t xml:space="preserve">active brother </w:t>
            </w:r>
            <w:r w:rsidR="00150D45">
              <w:t xml:space="preserve">using a detached doorknob. </w:t>
            </w:r>
            <w:r w:rsidR="00AE3E2B" w:rsidRPr="00AE3E2B">
              <w:t xml:space="preserve">The </w:t>
            </w:r>
            <w:r w:rsidR="009663CE">
              <w:t>impact</w:t>
            </w:r>
            <w:r w:rsidR="00AE3E2B" w:rsidRPr="00AE3E2B">
              <w:t xml:space="preserve"> of the</w:t>
            </w:r>
            <w:r w:rsidR="009663CE">
              <w:t xml:space="preserve">se </w:t>
            </w:r>
            <w:r w:rsidR="00AE3E2B" w:rsidRPr="00AE3E2B">
              <w:t xml:space="preserve">actions could not be conclusively </w:t>
            </w:r>
            <w:r w:rsidR="009663CE" w:rsidRPr="00AE3E2B">
              <w:t>determined</w:t>
            </w:r>
            <w:r w:rsidR="009663CE">
              <w:t xml:space="preserve"> but</w:t>
            </w:r>
            <w:r w:rsidR="00AE3E2B" w:rsidRPr="00AE3E2B">
              <w:t xml:space="preserve"> </w:t>
            </w:r>
            <w:r w:rsidR="009663CE">
              <w:t>was</w:t>
            </w:r>
            <w:r w:rsidR="00AE3E2B" w:rsidRPr="00AE3E2B">
              <w:t xml:space="preserve"> believed to have resulted in minimal injury.</w:t>
            </w:r>
          </w:p>
          <w:p w14:paraId="73294AF8" w14:textId="77777777" w:rsidR="00712011" w:rsidRDefault="00712011" w:rsidP="00712011"/>
          <w:p w14:paraId="79B2D8BE" w14:textId="77777777" w:rsidR="009C3350" w:rsidRDefault="00712011" w:rsidP="00712011">
            <w:r w:rsidRPr="00712011">
              <w:t xml:space="preserve">As a result of these findings, </w:t>
            </w:r>
            <w:r w:rsidR="00DA55DC">
              <w:t xml:space="preserve">Mu Theta </w:t>
            </w:r>
            <w:r w:rsidR="002E77D2">
              <w:t xml:space="preserve">was notified on October 2, 2025, that </w:t>
            </w:r>
            <w:r w:rsidR="009C3350">
              <w:t xml:space="preserve">the College had imposed the following sanctions: </w:t>
            </w:r>
          </w:p>
          <w:p w14:paraId="5F5F170F" w14:textId="77777777" w:rsidR="009C3350" w:rsidRDefault="009C3350" w:rsidP="00712011"/>
          <w:p w14:paraId="64B241B6" w14:textId="5D81536E" w:rsidR="009C3350" w:rsidRDefault="00BE1F82" w:rsidP="009C3350">
            <w:pPr>
              <w:pStyle w:val="ListParagraph"/>
              <w:numPr>
                <w:ilvl w:val="0"/>
                <w:numId w:val="1"/>
              </w:numPr>
            </w:pPr>
            <w:r w:rsidRPr="00BE1F82">
              <w:t>The organization was placed on Disciplinary Probation, with eligibility for reconsideration no earlier than June 1, 2026.</w:t>
            </w:r>
          </w:p>
          <w:p w14:paraId="633609B9" w14:textId="6FB7EAE1" w:rsidR="00FD70B4" w:rsidRDefault="00FD70B4" w:rsidP="009C3350">
            <w:pPr>
              <w:pStyle w:val="ListParagraph"/>
              <w:numPr>
                <w:ilvl w:val="0"/>
                <w:numId w:val="1"/>
              </w:numPr>
            </w:pPr>
            <w:r>
              <w:t xml:space="preserve">A pause in new member recruitment was imposed for the </w:t>
            </w:r>
            <w:r w:rsidR="00B17413">
              <w:t xml:space="preserve">Fall 2025 </w:t>
            </w:r>
            <w:r w:rsidR="0012732A">
              <w:t>s</w:t>
            </w:r>
            <w:r w:rsidR="00B17413">
              <w:t>emester.</w:t>
            </w:r>
          </w:p>
          <w:p w14:paraId="60FD7DB1" w14:textId="26576338" w:rsidR="00B17413" w:rsidRDefault="00507876" w:rsidP="009C3350">
            <w:pPr>
              <w:pStyle w:val="ListParagraph"/>
              <w:numPr>
                <w:ilvl w:val="0"/>
                <w:numId w:val="1"/>
              </w:numPr>
            </w:pPr>
            <w:r>
              <w:t>R</w:t>
            </w:r>
            <w:r w:rsidR="00BA5394">
              <w:t>equired participation in educational activity</w:t>
            </w:r>
            <w:r w:rsidR="00892EDA">
              <w:t>/toolkit</w:t>
            </w:r>
            <w:r w:rsidR="003728FA">
              <w:t>:</w:t>
            </w:r>
            <w:r w:rsidR="00892EDA">
              <w:t xml:space="preserve"> </w:t>
            </w:r>
            <w:r w:rsidR="003728FA" w:rsidRPr="003728FA">
              <w:rPr>
                <w:i/>
                <w:iCs/>
              </w:rPr>
              <w:t>10</w:t>
            </w:r>
            <w:r w:rsidR="003728FA">
              <w:t xml:space="preserve"> </w:t>
            </w:r>
            <w:r w:rsidR="009A5B7F" w:rsidRPr="00D622BF">
              <w:rPr>
                <w:i/>
                <w:iCs/>
              </w:rPr>
              <w:t>Signs of Health</w:t>
            </w:r>
            <w:r w:rsidR="00D622BF" w:rsidRPr="00D622BF">
              <w:rPr>
                <w:i/>
                <w:iCs/>
              </w:rPr>
              <w:t>y</w:t>
            </w:r>
            <w:r w:rsidR="009A5B7F" w:rsidRPr="00D622BF">
              <w:rPr>
                <w:i/>
                <w:iCs/>
              </w:rPr>
              <w:t xml:space="preserve"> &amp; Unhealthy Groups</w:t>
            </w:r>
            <w:r w:rsidR="00892EDA">
              <w:t xml:space="preserve"> (</w:t>
            </w:r>
            <w:r w:rsidR="00DA3AF5">
              <w:t>StopHazing.org)</w:t>
            </w:r>
            <w:r w:rsidR="00A96D20">
              <w:t>.</w:t>
            </w:r>
          </w:p>
          <w:p w14:paraId="53D59287" w14:textId="2DC408EE" w:rsidR="00A96D20" w:rsidRDefault="006856D0" w:rsidP="009C3350">
            <w:pPr>
              <w:pStyle w:val="ListParagraph"/>
              <w:numPr>
                <w:ilvl w:val="0"/>
                <w:numId w:val="1"/>
              </w:numPr>
            </w:pPr>
            <w:r>
              <w:t xml:space="preserve">Addition of a new, College-approved advisor. </w:t>
            </w:r>
          </w:p>
          <w:p w14:paraId="37EF50C9" w14:textId="77777777" w:rsidR="00604F01" w:rsidRDefault="0085006B" w:rsidP="00712011">
            <w:pPr>
              <w:pStyle w:val="ListParagraph"/>
              <w:numPr>
                <w:ilvl w:val="0"/>
                <w:numId w:val="1"/>
              </w:numPr>
            </w:pPr>
            <w:r>
              <w:t>Requirement</w:t>
            </w:r>
            <w:r w:rsidR="009B6C44">
              <w:t xml:space="preserve"> that, when </w:t>
            </w:r>
            <w:r>
              <w:t xml:space="preserve">permitted to resume new member initiation, an advisor be present at </w:t>
            </w:r>
            <w:r w:rsidR="007349F2">
              <w:t xml:space="preserve">all rush and pledging events. </w:t>
            </w:r>
          </w:p>
          <w:p w14:paraId="74D785EC" w14:textId="2F1AC2DA" w:rsidR="005416BB" w:rsidRDefault="005416BB" w:rsidP="002E3629">
            <w:pPr>
              <w:pStyle w:val="ListParagraph"/>
            </w:pPr>
          </w:p>
          <w:p w14:paraId="3F4C5B1C" w14:textId="631B11D2" w:rsidR="005416BB" w:rsidRDefault="00143EFC">
            <w:r w:rsidRPr="00143EFC">
              <w:t>Additional concerns unrelated to hazing were also under investigation at the same time. The outcome included sanctions addressing all incidents involving Mu Theta.</w:t>
            </w:r>
          </w:p>
          <w:p w14:paraId="7CF8D21D" w14:textId="520CEC3E" w:rsidR="005416BB" w:rsidRDefault="005416BB"/>
        </w:tc>
      </w:tr>
    </w:tbl>
    <w:p w14:paraId="41E3A2FF" w14:textId="63902A57" w:rsidR="00740DB6" w:rsidRDefault="00787CB2">
      <w:r>
        <w:br/>
      </w:r>
    </w:p>
    <w:p w14:paraId="5D46AFA8" w14:textId="77777777" w:rsidR="00143EFC" w:rsidRDefault="00143EFC"/>
    <w:p w14:paraId="1C29F3F1" w14:textId="77777777" w:rsidR="00143EFC" w:rsidRDefault="00143EFC"/>
    <w:p w14:paraId="1EC48398" w14:textId="77777777" w:rsidR="00143EFC" w:rsidRDefault="00143EFC"/>
    <w:tbl>
      <w:tblPr>
        <w:tblStyle w:val="TableGrid"/>
        <w:tblW w:w="0" w:type="auto"/>
        <w:tblLook w:val="04A0" w:firstRow="1" w:lastRow="0" w:firstColumn="1" w:lastColumn="0" w:noHBand="0" w:noVBand="1"/>
      </w:tblPr>
      <w:tblGrid>
        <w:gridCol w:w="3415"/>
        <w:gridCol w:w="5935"/>
      </w:tblGrid>
      <w:tr w:rsidR="00787CB2" w14:paraId="2C9E7CF1" w14:textId="77777777" w:rsidTr="007075A8">
        <w:trPr>
          <w:trHeight w:val="440"/>
        </w:trPr>
        <w:tc>
          <w:tcPr>
            <w:tcW w:w="9350" w:type="dxa"/>
            <w:gridSpan w:val="2"/>
            <w:shd w:val="clear" w:color="auto" w:fill="003C71"/>
            <w:vAlign w:val="center"/>
          </w:tcPr>
          <w:p w14:paraId="1E548C7E" w14:textId="2E0DD424" w:rsidR="00787CB2" w:rsidRPr="003752E6" w:rsidRDefault="00787CB2" w:rsidP="007075A8">
            <w:pPr>
              <w:rPr>
                <w:b/>
                <w:bCs/>
                <w:sz w:val="28"/>
                <w:szCs w:val="28"/>
              </w:rPr>
            </w:pPr>
            <w:r>
              <w:rPr>
                <w:b/>
                <w:bCs/>
                <w:color w:val="FFFFFF" w:themeColor="background1"/>
                <w:sz w:val="28"/>
                <w:szCs w:val="28"/>
              </w:rPr>
              <w:lastRenderedPageBreak/>
              <w:t>Pi Nu Epsilon</w:t>
            </w:r>
          </w:p>
        </w:tc>
      </w:tr>
      <w:tr w:rsidR="00787CB2" w14:paraId="5800517B" w14:textId="77777777" w:rsidTr="007075A8">
        <w:trPr>
          <w:trHeight w:val="403"/>
        </w:trPr>
        <w:tc>
          <w:tcPr>
            <w:tcW w:w="3415" w:type="dxa"/>
            <w:shd w:val="clear" w:color="auto" w:fill="0085CA"/>
            <w:vAlign w:val="center"/>
          </w:tcPr>
          <w:p w14:paraId="572BE1BF" w14:textId="77777777" w:rsidR="00787CB2" w:rsidRPr="00735694" w:rsidRDefault="00787CB2" w:rsidP="007075A8">
            <w:pPr>
              <w:rPr>
                <w:b/>
                <w:bCs/>
                <w:color w:val="FFFFFF" w:themeColor="background1"/>
              </w:rPr>
            </w:pPr>
            <w:r w:rsidRPr="00735694">
              <w:rPr>
                <w:b/>
                <w:bCs/>
                <w:color w:val="FFFFFF" w:themeColor="background1"/>
              </w:rPr>
              <w:t>Date of Hazing Incident(s)</w:t>
            </w:r>
          </w:p>
        </w:tc>
        <w:tc>
          <w:tcPr>
            <w:tcW w:w="5935" w:type="dxa"/>
            <w:vAlign w:val="center"/>
          </w:tcPr>
          <w:p w14:paraId="49803F11" w14:textId="062CE2F4" w:rsidR="00787CB2" w:rsidRDefault="009A6084" w:rsidP="007075A8">
            <w:r>
              <w:t xml:space="preserve">Spring 2024 </w:t>
            </w:r>
            <w:r w:rsidR="003369ED">
              <w:t>s</w:t>
            </w:r>
            <w:r>
              <w:t>emester</w:t>
            </w:r>
          </w:p>
        </w:tc>
      </w:tr>
      <w:tr w:rsidR="00787CB2" w14:paraId="1A352F98" w14:textId="77777777" w:rsidTr="007075A8">
        <w:trPr>
          <w:trHeight w:val="403"/>
        </w:trPr>
        <w:tc>
          <w:tcPr>
            <w:tcW w:w="3415" w:type="dxa"/>
            <w:shd w:val="clear" w:color="auto" w:fill="0085CA"/>
            <w:vAlign w:val="center"/>
          </w:tcPr>
          <w:p w14:paraId="1F42C183" w14:textId="77777777" w:rsidR="00787CB2" w:rsidRPr="00735694" w:rsidRDefault="00787CB2" w:rsidP="007075A8">
            <w:pPr>
              <w:rPr>
                <w:b/>
                <w:bCs/>
                <w:color w:val="FFFFFF" w:themeColor="background1"/>
              </w:rPr>
            </w:pPr>
            <w:r w:rsidRPr="00735694">
              <w:rPr>
                <w:b/>
                <w:bCs/>
                <w:color w:val="FFFFFF" w:themeColor="background1"/>
              </w:rPr>
              <w:t>Date Reported</w:t>
            </w:r>
          </w:p>
        </w:tc>
        <w:tc>
          <w:tcPr>
            <w:tcW w:w="5935" w:type="dxa"/>
            <w:vAlign w:val="center"/>
          </w:tcPr>
          <w:p w14:paraId="5F0692A8" w14:textId="6779D38B" w:rsidR="00787CB2" w:rsidRDefault="009A6084" w:rsidP="007075A8">
            <w:r>
              <w:t>January 1</w:t>
            </w:r>
            <w:r w:rsidR="00492B23">
              <w:t>3</w:t>
            </w:r>
            <w:r>
              <w:t>, 2025</w:t>
            </w:r>
          </w:p>
        </w:tc>
      </w:tr>
      <w:tr w:rsidR="00787CB2" w14:paraId="726A3B16" w14:textId="77777777" w:rsidTr="007075A8">
        <w:trPr>
          <w:trHeight w:val="403"/>
        </w:trPr>
        <w:tc>
          <w:tcPr>
            <w:tcW w:w="3415" w:type="dxa"/>
            <w:shd w:val="clear" w:color="auto" w:fill="0085CA"/>
            <w:vAlign w:val="center"/>
          </w:tcPr>
          <w:p w14:paraId="056F97AA" w14:textId="55447173" w:rsidR="00787CB2" w:rsidRPr="00735694" w:rsidRDefault="006D0AEB" w:rsidP="007075A8">
            <w:pPr>
              <w:rPr>
                <w:b/>
                <w:bCs/>
                <w:color w:val="FFFFFF" w:themeColor="background1"/>
              </w:rPr>
            </w:pPr>
            <w:r>
              <w:rPr>
                <w:b/>
                <w:bCs/>
                <w:color w:val="FFFFFF" w:themeColor="background1"/>
              </w:rPr>
              <w:t>Dates of Investigation</w:t>
            </w:r>
          </w:p>
        </w:tc>
        <w:tc>
          <w:tcPr>
            <w:tcW w:w="5935" w:type="dxa"/>
            <w:vAlign w:val="center"/>
          </w:tcPr>
          <w:p w14:paraId="251A0623" w14:textId="2D849C97" w:rsidR="00787CB2" w:rsidRDefault="00492B23" w:rsidP="007075A8">
            <w:r>
              <w:t>January 14, 2025</w:t>
            </w:r>
            <w:r w:rsidR="006D0AEB">
              <w:t xml:space="preserve"> – October 2, 2025</w:t>
            </w:r>
          </w:p>
        </w:tc>
      </w:tr>
      <w:tr w:rsidR="00787CB2" w14:paraId="7BD39C0D" w14:textId="77777777" w:rsidTr="007075A8">
        <w:trPr>
          <w:trHeight w:val="403"/>
        </w:trPr>
        <w:tc>
          <w:tcPr>
            <w:tcW w:w="3415" w:type="dxa"/>
            <w:shd w:val="clear" w:color="auto" w:fill="0085CA"/>
            <w:vAlign w:val="center"/>
          </w:tcPr>
          <w:p w14:paraId="2C639CEF" w14:textId="77777777" w:rsidR="00787CB2" w:rsidRPr="00735694" w:rsidRDefault="00787CB2" w:rsidP="007075A8">
            <w:pPr>
              <w:rPr>
                <w:b/>
                <w:bCs/>
                <w:color w:val="FFFFFF" w:themeColor="background1"/>
              </w:rPr>
            </w:pPr>
            <w:r w:rsidRPr="00735694">
              <w:rPr>
                <w:b/>
                <w:bCs/>
                <w:color w:val="FFFFFF" w:themeColor="background1"/>
              </w:rPr>
              <w:t xml:space="preserve">Notice of Violation Issued </w:t>
            </w:r>
          </w:p>
        </w:tc>
        <w:tc>
          <w:tcPr>
            <w:tcW w:w="5935" w:type="dxa"/>
            <w:vAlign w:val="center"/>
          </w:tcPr>
          <w:p w14:paraId="04884BE1" w14:textId="556C940D" w:rsidR="00787CB2" w:rsidRDefault="009A6084" w:rsidP="007075A8">
            <w:r>
              <w:t>October 2, 2025</w:t>
            </w:r>
          </w:p>
        </w:tc>
      </w:tr>
      <w:tr w:rsidR="00787CB2" w14:paraId="0E4B303A" w14:textId="77777777" w:rsidTr="007075A8">
        <w:trPr>
          <w:trHeight w:val="403"/>
        </w:trPr>
        <w:tc>
          <w:tcPr>
            <w:tcW w:w="3415" w:type="dxa"/>
            <w:shd w:val="clear" w:color="auto" w:fill="0085CA"/>
            <w:vAlign w:val="center"/>
          </w:tcPr>
          <w:p w14:paraId="00168A19" w14:textId="77777777" w:rsidR="00787CB2" w:rsidRPr="00735694" w:rsidRDefault="00787CB2" w:rsidP="007075A8">
            <w:pPr>
              <w:rPr>
                <w:b/>
                <w:bCs/>
                <w:color w:val="FFFFFF" w:themeColor="background1"/>
              </w:rPr>
            </w:pPr>
            <w:r w:rsidRPr="00735694">
              <w:rPr>
                <w:b/>
                <w:bCs/>
                <w:color w:val="FFFFFF" w:themeColor="background1"/>
              </w:rPr>
              <w:t>Policy Violations</w:t>
            </w:r>
          </w:p>
        </w:tc>
        <w:tc>
          <w:tcPr>
            <w:tcW w:w="5935" w:type="dxa"/>
            <w:vAlign w:val="center"/>
          </w:tcPr>
          <w:p w14:paraId="7BBC9FCB" w14:textId="4FE71E78" w:rsidR="00787CB2" w:rsidRDefault="003C18E3" w:rsidP="007075A8">
            <w:r>
              <w:t>15.1, Hazing</w:t>
            </w:r>
          </w:p>
        </w:tc>
      </w:tr>
      <w:tr w:rsidR="00787CB2" w14:paraId="6B496DD3" w14:textId="77777777" w:rsidTr="00EB4932">
        <w:trPr>
          <w:trHeight w:val="403"/>
        </w:trPr>
        <w:tc>
          <w:tcPr>
            <w:tcW w:w="3415" w:type="dxa"/>
            <w:tcBorders>
              <w:bottom w:val="nil"/>
            </w:tcBorders>
            <w:shd w:val="clear" w:color="auto" w:fill="0085CA"/>
            <w:vAlign w:val="center"/>
          </w:tcPr>
          <w:p w14:paraId="7585DD89" w14:textId="77777777" w:rsidR="00787CB2" w:rsidRPr="00735694" w:rsidRDefault="00787CB2" w:rsidP="007075A8">
            <w:pPr>
              <w:rPr>
                <w:b/>
                <w:bCs/>
                <w:color w:val="FFFFFF" w:themeColor="background1"/>
              </w:rPr>
            </w:pPr>
            <w:r w:rsidRPr="00735694">
              <w:rPr>
                <w:b/>
                <w:bCs/>
                <w:color w:val="FFFFFF" w:themeColor="background1"/>
              </w:rPr>
              <w:t>Sanctions</w:t>
            </w:r>
          </w:p>
        </w:tc>
        <w:tc>
          <w:tcPr>
            <w:tcW w:w="5935" w:type="dxa"/>
            <w:tcBorders>
              <w:bottom w:val="nil"/>
            </w:tcBorders>
            <w:vAlign w:val="center"/>
          </w:tcPr>
          <w:p w14:paraId="2B90C104" w14:textId="71E4FF28" w:rsidR="00787CB2" w:rsidRDefault="003C18E3" w:rsidP="007075A8">
            <w:r>
              <w:t>Disciplinary Probation (see below)</w:t>
            </w:r>
          </w:p>
        </w:tc>
      </w:tr>
      <w:tr w:rsidR="00787CB2" w14:paraId="5A8CF134" w14:textId="77777777" w:rsidTr="00EB4932">
        <w:trPr>
          <w:trHeight w:val="446"/>
        </w:trPr>
        <w:tc>
          <w:tcPr>
            <w:tcW w:w="9350" w:type="dxa"/>
            <w:gridSpan w:val="2"/>
            <w:tcBorders>
              <w:top w:val="nil"/>
              <w:left w:val="single" w:sz="4" w:space="0" w:color="auto"/>
              <w:bottom w:val="nil"/>
              <w:right w:val="single" w:sz="4" w:space="0" w:color="auto"/>
            </w:tcBorders>
            <w:shd w:val="clear" w:color="auto" w:fill="003C71"/>
            <w:vAlign w:val="center"/>
          </w:tcPr>
          <w:p w14:paraId="7B071A68" w14:textId="77777777" w:rsidR="00787CB2" w:rsidRPr="00714601" w:rsidRDefault="00787CB2" w:rsidP="007075A8">
            <w:pPr>
              <w:jc w:val="center"/>
              <w:rPr>
                <w:b/>
                <w:bCs/>
              </w:rPr>
            </w:pPr>
            <w:r w:rsidRPr="00714601">
              <w:rPr>
                <w:b/>
                <w:bCs/>
              </w:rPr>
              <w:t>Description of Hazing Incident(s)</w:t>
            </w:r>
          </w:p>
        </w:tc>
      </w:tr>
      <w:tr w:rsidR="00787CB2" w14:paraId="7ADDFED7" w14:textId="77777777" w:rsidTr="00EB4932">
        <w:trPr>
          <w:trHeight w:val="1430"/>
        </w:trPr>
        <w:tc>
          <w:tcPr>
            <w:tcW w:w="9350" w:type="dxa"/>
            <w:gridSpan w:val="2"/>
            <w:tcBorders>
              <w:top w:val="nil"/>
            </w:tcBorders>
          </w:tcPr>
          <w:p w14:paraId="631B61B5" w14:textId="36208E7F" w:rsidR="005416BB" w:rsidRDefault="005416BB" w:rsidP="005416BB">
            <w:r>
              <w:br/>
            </w:r>
            <w:r w:rsidRPr="005416BB">
              <w:t xml:space="preserve">Following an investigation in which </w:t>
            </w:r>
            <w:r>
              <w:t xml:space="preserve">Pi Nu Epsilon was cooperative and acknowledged responsibility for misconduct, the College </w:t>
            </w:r>
            <w:r w:rsidRPr="005416BB">
              <w:t xml:space="preserve">found sufficient evidence to support </w:t>
            </w:r>
            <w:r w:rsidR="00051DC5" w:rsidRPr="00051DC5">
              <w:t>that the organization engaged in the following hazing behavior(s):</w:t>
            </w:r>
          </w:p>
          <w:p w14:paraId="18E2308D" w14:textId="77777777" w:rsidR="001B13B1" w:rsidRDefault="001B13B1" w:rsidP="005416BB"/>
          <w:p w14:paraId="4ABDE24F" w14:textId="77777777" w:rsidR="001B13B1" w:rsidRDefault="001B13B1" w:rsidP="00E13490">
            <w:pPr>
              <w:pStyle w:val="ListParagraph"/>
              <w:numPr>
                <w:ilvl w:val="0"/>
                <w:numId w:val="1"/>
              </w:numPr>
            </w:pPr>
            <w:r w:rsidRPr="001B13B1">
              <w:t>Utilization of blindfolds during multiple new member initiation activities</w:t>
            </w:r>
            <w:r>
              <w:t>.</w:t>
            </w:r>
          </w:p>
          <w:p w14:paraId="03097EF8" w14:textId="00C898B1" w:rsidR="00E13490" w:rsidRDefault="000F351D" w:rsidP="00E13490">
            <w:pPr>
              <w:pStyle w:val="ListParagraph"/>
              <w:numPr>
                <w:ilvl w:val="0"/>
                <w:numId w:val="1"/>
              </w:numPr>
            </w:pPr>
            <w:r>
              <w:t>N</w:t>
            </w:r>
            <w:r w:rsidR="00C0017A">
              <w:t>ew members</w:t>
            </w:r>
            <w:r w:rsidR="00E13490">
              <w:t xml:space="preserve"> were made to kneel and </w:t>
            </w:r>
            <w:r>
              <w:t xml:space="preserve">were </w:t>
            </w:r>
            <w:r w:rsidR="00E13490">
              <w:t>splashed with water</w:t>
            </w:r>
            <w:r w:rsidR="00C0017A">
              <w:t>.</w:t>
            </w:r>
          </w:p>
          <w:p w14:paraId="67C8BA46" w14:textId="56CE85C7" w:rsidR="000F351D" w:rsidRDefault="00165081" w:rsidP="00E13490">
            <w:pPr>
              <w:pStyle w:val="ListParagraph"/>
              <w:numPr>
                <w:ilvl w:val="0"/>
                <w:numId w:val="1"/>
              </w:numPr>
            </w:pPr>
            <w:r>
              <w:t>E</w:t>
            </w:r>
            <w:r w:rsidR="003333A3">
              <w:t xml:space="preserve">ndorsement of alcohol consumption by </w:t>
            </w:r>
            <w:r w:rsidR="00532621">
              <w:t>new members and active members</w:t>
            </w:r>
            <w:r w:rsidR="0022701B">
              <w:t xml:space="preserve">. </w:t>
            </w:r>
            <w:r w:rsidR="00FF756E" w:rsidRPr="00FF756E">
              <w:t>It was also determined that heavy alcohol consumption was condoned, if not actively encouraged, as evidenced by a wastebasket being deliberately placed in front of individuals who were drinking.</w:t>
            </w:r>
          </w:p>
          <w:p w14:paraId="7890B923" w14:textId="55A1D975" w:rsidR="005416BB" w:rsidRDefault="00050199" w:rsidP="00050199">
            <w:pPr>
              <w:pStyle w:val="ListParagraph"/>
              <w:numPr>
                <w:ilvl w:val="0"/>
                <w:numId w:val="1"/>
              </w:numPr>
            </w:pPr>
            <w:r w:rsidRPr="00050199">
              <w:t>Alcohol consumption was permitted by new and active members, including minors, during an initiation activity. Heavy drinking appeared to be condoned—if not actively encouraged—as indicated by a wastebasket deliberately placed in front of those drinking.</w:t>
            </w:r>
          </w:p>
          <w:p w14:paraId="70A98E09" w14:textId="77777777" w:rsidR="00050199" w:rsidRDefault="00050199" w:rsidP="00050199">
            <w:pPr>
              <w:pStyle w:val="ListParagraph"/>
            </w:pPr>
          </w:p>
          <w:p w14:paraId="1F553FAF" w14:textId="7776F6DE" w:rsidR="006D0AEB" w:rsidRDefault="00B15BAF" w:rsidP="007075A8">
            <w:r w:rsidRPr="00B15BAF">
              <w:t xml:space="preserve">As a result of these findings, </w:t>
            </w:r>
            <w:r>
              <w:t>Pi Nu Epsilon</w:t>
            </w:r>
            <w:r w:rsidRPr="00B15BAF">
              <w:t xml:space="preserve"> was notified on October 2, 2025, that the College had imposed the following sanctions: </w:t>
            </w:r>
          </w:p>
          <w:p w14:paraId="2A2B21F1" w14:textId="77777777" w:rsidR="00D952BB" w:rsidRDefault="00D952BB" w:rsidP="007075A8"/>
          <w:p w14:paraId="1FD0BF40" w14:textId="77777777" w:rsidR="00403D99" w:rsidRPr="00403D99" w:rsidRDefault="00403D99" w:rsidP="00403D99">
            <w:pPr>
              <w:pStyle w:val="ListParagraph"/>
              <w:numPr>
                <w:ilvl w:val="0"/>
                <w:numId w:val="1"/>
              </w:numPr>
            </w:pPr>
            <w:r w:rsidRPr="00403D99">
              <w:t>The organization was placed on Disciplinary Probation, with eligibility for reconsideration no earlier than June 1, 2026.</w:t>
            </w:r>
          </w:p>
          <w:p w14:paraId="51C99D82" w14:textId="17DB6ED2" w:rsidR="00D952BB" w:rsidRDefault="00F72590" w:rsidP="00D952BB">
            <w:pPr>
              <w:pStyle w:val="ListParagraph"/>
              <w:numPr>
                <w:ilvl w:val="0"/>
                <w:numId w:val="1"/>
              </w:numPr>
            </w:pPr>
            <w:r>
              <w:t xml:space="preserve">Restricted </w:t>
            </w:r>
            <w:r w:rsidR="0012732A">
              <w:t xml:space="preserve">new member </w:t>
            </w:r>
            <w:r w:rsidR="0073130B">
              <w:t>class size for</w:t>
            </w:r>
            <w:r w:rsidR="0012732A">
              <w:t xml:space="preserve"> the Fall 2025 semester. </w:t>
            </w:r>
          </w:p>
          <w:p w14:paraId="3A6D3C45" w14:textId="77777777" w:rsidR="008515B8" w:rsidRDefault="008515B8" w:rsidP="00EB7B19">
            <w:pPr>
              <w:pStyle w:val="ListParagraph"/>
              <w:numPr>
                <w:ilvl w:val="0"/>
                <w:numId w:val="1"/>
              </w:numPr>
            </w:pPr>
            <w:r>
              <w:t xml:space="preserve">Required participation in educational activity/toolkit: </w:t>
            </w:r>
            <w:r w:rsidRPr="003728FA">
              <w:rPr>
                <w:i/>
                <w:iCs/>
              </w:rPr>
              <w:t>10</w:t>
            </w:r>
            <w:r>
              <w:t xml:space="preserve"> </w:t>
            </w:r>
            <w:r w:rsidRPr="00D622BF">
              <w:rPr>
                <w:i/>
                <w:iCs/>
              </w:rPr>
              <w:t>Signs of Healthy &amp; Unhealthy Groups</w:t>
            </w:r>
            <w:r>
              <w:t xml:space="preserve"> (StopHazing.org).</w:t>
            </w:r>
          </w:p>
          <w:p w14:paraId="78C93F81" w14:textId="1795B394" w:rsidR="00D952BB" w:rsidRDefault="008C1406" w:rsidP="007075A8">
            <w:pPr>
              <w:pStyle w:val="ListParagraph"/>
              <w:numPr>
                <w:ilvl w:val="0"/>
                <w:numId w:val="1"/>
              </w:numPr>
            </w:pPr>
            <w:r>
              <w:t>Organizational review of all new member initiation activities to ensure compliance with</w:t>
            </w:r>
            <w:r w:rsidR="00014122">
              <w:t xml:space="preserve"> the College’s Code of Conduct and</w:t>
            </w:r>
            <w:r>
              <w:t xml:space="preserve"> </w:t>
            </w:r>
            <w:r w:rsidR="007D0F55">
              <w:t>applicable</w:t>
            </w:r>
            <w:r w:rsidR="00014122">
              <w:t xml:space="preserve"> laws</w:t>
            </w:r>
            <w:r w:rsidR="007D0F55">
              <w:t xml:space="preserve">. </w:t>
            </w:r>
          </w:p>
          <w:p w14:paraId="6C0E479B" w14:textId="62146662" w:rsidR="00787CB2" w:rsidRDefault="00787CB2" w:rsidP="007075A8"/>
        </w:tc>
      </w:tr>
    </w:tbl>
    <w:p w14:paraId="7ED3CC60" w14:textId="77777777" w:rsidR="00787CB2" w:rsidRDefault="00787CB2"/>
    <w:sectPr w:rsidR="00787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324EA"/>
    <w:multiLevelType w:val="hybridMultilevel"/>
    <w:tmpl w:val="2474FEA4"/>
    <w:lvl w:ilvl="0" w:tplc="6D1065D6">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55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6"/>
    <w:rsid w:val="00005A3B"/>
    <w:rsid w:val="000111CC"/>
    <w:rsid w:val="00014122"/>
    <w:rsid w:val="000213F7"/>
    <w:rsid w:val="00035D04"/>
    <w:rsid w:val="000430A5"/>
    <w:rsid w:val="00050199"/>
    <w:rsid w:val="00051DC5"/>
    <w:rsid w:val="000A31FD"/>
    <w:rsid w:val="000B0F08"/>
    <w:rsid w:val="000B6EC5"/>
    <w:rsid w:val="000D0EF7"/>
    <w:rsid w:val="000F351D"/>
    <w:rsid w:val="000F430D"/>
    <w:rsid w:val="0012573B"/>
    <w:rsid w:val="0012732A"/>
    <w:rsid w:val="001412A2"/>
    <w:rsid w:val="00143EFC"/>
    <w:rsid w:val="00150D45"/>
    <w:rsid w:val="00165081"/>
    <w:rsid w:val="001B13B1"/>
    <w:rsid w:val="001C4933"/>
    <w:rsid w:val="00214668"/>
    <w:rsid w:val="002210C3"/>
    <w:rsid w:val="00223C3D"/>
    <w:rsid w:val="0022701B"/>
    <w:rsid w:val="0023732E"/>
    <w:rsid w:val="002639B4"/>
    <w:rsid w:val="0027400A"/>
    <w:rsid w:val="00295604"/>
    <w:rsid w:val="002E3629"/>
    <w:rsid w:val="002E715F"/>
    <w:rsid w:val="002E77D2"/>
    <w:rsid w:val="002F2E24"/>
    <w:rsid w:val="002F5662"/>
    <w:rsid w:val="003117CD"/>
    <w:rsid w:val="00326F08"/>
    <w:rsid w:val="003333A3"/>
    <w:rsid w:val="003369ED"/>
    <w:rsid w:val="00363B81"/>
    <w:rsid w:val="003728FA"/>
    <w:rsid w:val="003752E6"/>
    <w:rsid w:val="00394C7E"/>
    <w:rsid w:val="003C18E3"/>
    <w:rsid w:val="003C4F00"/>
    <w:rsid w:val="003E47F2"/>
    <w:rsid w:val="003F0014"/>
    <w:rsid w:val="00403D99"/>
    <w:rsid w:val="00434C20"/>
    <w:rsid w:val="00435D3F"/>
    <w:rsid w:val="00436DB6"/>
    <w:rsid w:val="004505E0"/>
    <w:rsid w:val="00492B23"/>
    <w:rsid w:val="004E5837"/>
    <w:rsid w:val="00507876"/>
    <w:rsid w:val="00531765"/>
    <w:rsid w:val="00532621"/>
    <w:rsid w:val="005416BB"/>
    <w:rsid w:val="00541B7F"/>
    <w:rsid w:val="00562D92"/>
    <w:rsid w:val="00566D9C"/>
    <w:rsid w:val="00573556"/>
    <w:rsid w:val="00575CEA"/>
    <w:rsid w:val="00582BBE"/>
    <w:rsid w:val="005A1757"/>
    <w:rsid w:val="005E434A"/>
    <w:rsid w:val="005E7AE2"/>
    <w:rsid w:val="005F5621"/>
    <w:rsid w:val="00604F01"/>
    <w:rsid w:val="00650A9D"/>
    <w:rsid w:val="006856D0"/>
    <w:rsid w:val="006A750F"/>
    <w:rsid w:val="006B3E37"/>
    <w:rsid w:val="006B4B3B"/>
    <w:rsid w:val="006C758E"/>
    <w:rsid w:val="006D001D"/>
    <w:rsid w:val="006D0AEB"/>
    <w:rsid w:val="006E66C8"/>
    <w:rsid w:val="007026DF"/>
    <w:rsid w:val="00705DE1"/>
    <w:rsid w:val="007075A8"/>
    <w:rsid w:val="00712011"/>
    <w:rsid w:val="00714601"/>
    <w:rsid w:val="0071611F"/>
    <w:rsid w:val="0073130B"/>
    <w:rsid w:val="007349F2"/>
    <w:rsid w:val="00735694"/>
    <w:rsid w:val="00740DB6"/>
    <w:rsid w:val="00745489"/>
    <w:rsid w:val="00750E85"/>
    <w:rsid w:val="00787CB2"/>
    <w:rsid w:val="007D0F55"/>
    <w:rsid w:val="007F0D28"/>
    <w:rsid w:val="00804F3D"/>
    <w:rsid w:val="00814FC3"/>
    <w:rsid w:val="00817EEE"/>
    <w:rsid w:val="0085006B"/>
    <w:rsid w:val="008515B8"/>
    <w:rsid w:val="00857DDE"/>
    <w:rsid w:val="00892EDA"/>
    <w:rsid w:val="008A1A47"/>
    <w:rsid w:val="008A7CB1"/>
    <w:rsid w:val="008B0FE1"/>
    <w:rsid w:val="008B2A9E"/>
    <w:rsid w:val="008C1406"/>
    <w:rsid w:val="008D6265"/>
    <w:rsid w:val="00900979"/>
    <w:rsid w:val="009556DD"/>
    <w:rsid w:val="009663CE"/>
    <w:rsid w:val="00967B54"/>
    <w:rsid w:val="0097570B"/>
    <w:rsid w:val="009A5B7F"/>
    <w:rsid w:val="009A6084"/>
    <w:rsid w:val="009B3991"/>
    <w:rsid w:val="009B6C44"/>
    <w:rsid w:val="009C3350"/>
    <w:rsid w:val="009C7AA9"/>
    <w:rsid w:val="009E0E5A"/>
    <w:rsid w:val="00A16A11"/>
    <w:rsid w:val="00A17BFB"/>
    <w:rsid w:val="00A266C1"/>
    <w:rsid w:val="00A33FBD"/>
    <w:rsid w:val="00A96D20"/>
    <w:rsid w:val="00AE3E2B"/>
    <w:rsid w:val="00B15BAF"/>
    <w:rsid w:val="00B17413"/>
    <w:rsid w:val="00B51EA6"/>
    <w:rsid w:val="00B85B89"/>
    <w:rsid w:val="00B90E55"/>
    <w:rsid w:val="00BA5394"/>
    <w:rsid w:val="00BC3B4A"/>
    <w:rsid w:val="00BE1F82"/>
    <w:rsid w:val="00BE29C7"/>
    <w:rsid w:val="00BF3B22"/>
    <w:rsid w:val="00BF7488"/>
    <w:rsid w:val="00C0017A"/>
    <w:rsid w:val="00C302EA"/>
    <w:rsid w:val="00C76AEF"/>
    <w:rsid w:val="00C87693"/>
    <w:rsid w:val="00CC07A8"/>
    <w:rsid w:val="00CD05FB"/>
    <w:rsid w:val="00CE5EE4"/>
    <w:rsid w:val="00CF4E4A"/>
    <w:rsid w:val="00CF6FDC"/>
    <w:rsid w:val="00CF7D21"/>
    <w:rsid w:val="00D07FD9"/>
    <w:rsid w:val="00D114D2"/>
    <w:rsid w:val="00D16451"/>
    <w:rsid w:val="00D2659F"/>
    <w:rsid w:val="00D27902"/>
    <w:rsid w:val="00D45CDC"/>
    <w:rsid w:val="00D54783"/>
    <w:rsid w:val="00D622BF"/>
    <w:rsid w:val="00D72B4C"/>
    <w:rsid w:val="00D952BB"/>
    <w:rsid w:val="00DA3AF5"/>
    <w:rsid w:val="00DA55DC"/>
    <w:rsid w:val="00DE1E93"/>
    <w:rsid w:val="00DF4923"/>
    <w:rsid w:val="00E06F15"/>
    <w:rsid w:val="00E13490"/>
    <w:rsid w:val="00EA6BFA"/>
    <w:rsid w:val="00EB4932"/>
    <w:rsid w:val="00EB7B19"/>
    <w:rsid w:val="00F17E03"/>
    <w:rsid w:val="00F72590"/>
    <w:rsid w:val="00FA226C"/>
    <w:rsid w:val="00FA54E9"/>
    <w:rsid w:val="00FD5240"/>
    <w:rsid w:val="00FD70B4"/>
    <w:rsid w:val="00FF12B5"/>
    <w:rsid w:val="00FF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93D1B"/>
  <w15:chartTrackingRefBased/>
  <w15:docId w15:val="{23B21FF1-7DA6-4247-830A-B9DD66C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6BB"/>
  </w:style>
  <w:style w:type="paragraph" w:styleId="Heading1">
    <w:name w:val="heading 1"/>
    <w:basedOn w:val="Normal"/>
    <w:next w:val="Normal"/>
    <w:link w:val="Heading1Char"/>
    <w:uiPriority w:val="9"/>
    <w:qFormat/>
    <w:rsid w:val="00375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E6"/>
    <w:rPr>
      <w:rFonts w:eastAsiaTheme="majorEastAsia" w:cstheme="majorBidi"/>
      <w:color w:val="272727" w:themeColor="text1" w:themeTint="D8"/>
    </w:rPr>
  </w:style>
  <w:style w:type="paragraph" w:styleId="Title">
    <w:name w:val="Title"/>
    <w:basedOn w:val="Normal"/>
    <w:next w:val="Normal"/>
    <w:link w:val="TitleChar"/>
    <w:uiPriority w:val="10"/>
    <w:qFormat/>
    <w:rsid w:val="00375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E6"/>
    <w:pPr>
      <w:spacing w:before="160"/>
      <w:jc w:val="center"/>
    </w:pPr>
    <w:rPr>
      <w:i/>
      <w:iCs/>
      <w:color w:val="404040" w:themeColor="text1" w:themeTint="BF"/>
    </w:rPr>
  </w:style>
  <w:style w:type="character" w:customStyle="1" w:styleId="QuoteChar">
    <w:name w:val="Quote Char"/>
    <w:basedOn w:val="DefaultParagraphFont"/>
    <w:link w:val="Quote"/>
    <w:uiPriority w:val="29"/>
    <w:rsid w:val="003752E6"/>
    <w:rPr>
      <w:i/>
      <w:iCs/>
      <w:color w:val="404040" w:themeColor="text1" w:themeTint="BF"/>
    </w:rPr>
  </w:style>
  <w:style w:type="paragraph" w:styleId="ListParagraph">
    <w:name w:val="List Paragraph"/>
    <w:basedOn w:val="Normal"/>
    <w:uiPriority w:val="34"/>
    <w:qFormat/>
    <w:rsid w:val="003752E6"/>
    <w:pPr>
      <w:ind w:left="720"/>
      <w:contextualSpacing/>
    </w:pPr>
  </w:style>
  <w:style w:type="character" w:styleId="IntenseEmphasis">
    <w:name w:val="Intense Emphasis"/>
    <w:basedOn w:val="DefaultParagraphFont"/>
    <w:uiPriority w:val="21"/>
    <w:qFormat/>
    <w:rsid w:val="003752E6"/>
    <w:rPr>
      <w:i/>
      <w:iCs/>
      <w:color w:val="0F4761" w:themeColor="accent1" w:themeShade="BF"/>
    </w:rPr>
  </w:style>
  <w:style w:type="paragraph" w:styleId="IntenseQuote">
    <w:name w:val="Intense Quote"/>
    <w:basedOn w:val="Normal"/>
    <w:next w:val="Normal"/>
    <w:link w:val="IntenseQuoteChar"/>
    <w:uiPriority w:val="30"/>
    <w:qFormat/>
    <w:rsid w:val="0037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E6"/>
    <w:rPr>
      <w:i/>
      <w:iCs/>
      <w:color w:val="0F4761" w:themeColor="accent1" w:themeShade="BF"/>
    </w:rPr>
  </w:style>
  <w:style w:type="character" w:styleId="IntenseReference">
    <w:name w:val="Intense Reference"/>
    <w:basedOn w:val="DefaultParagraphFont"/>
    <w:uiPriority w:val="32"/>
    <w:qFormat/>
    <w:rsid w:val="003752E6"/>
    <w:rPr>
      <w:b/>
      <w:bCs/>
      <w:smallCaps/>
      <w:color w:val="0F4761" w:themeColor="accent1" w:themeShade="BF"/>
      <w:spacing w:val="5"/>
    </w:rPr>
  </w:style>
  <w:style w:type="table" w:styleId="TableGrid">
    <w:name w:val="Table Grid"/>
    <w:basedOn w:val="TableNormal"/>
    <w:uiPriority w:val="39"/>
    <w:rsid w:val="0037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0A5"/>
    <w:rPr>
      <w:color w:val="467886" w:themeColor="hyperlink"/>
      <w:u w:val="single"/>
    </w:rPr>
  </w:style>
  <w:style w:type="character" w:styleId="UnresolvedMention">
    <w:name w:val="Unresolved Mention"/>
    <w:basedOn w:val="DefaultParagraphFont"/>
    <w:uiPriority w:val="99"/>
    <w:semiHidden/>
    <w:unhideWhenUsed/>
    <w:rsid w:val="0004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nnual%20Security%20and%20Fire%20Safety%20Re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gress.gov/bill/118th-congress/house-bill/5646/tex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C3B3-FDF6-4961-A175-7C1F3D862234}">
  <ds:schemaRefs>
    <ds:schemaRef ds:uri="http://schemas.openxmlformats.org/officeDocument/2006/bibliography"/>
  </ds:schemaRefs>
</ds:datastoreItem>
</file>

<file path=docMetadata/LabelInfo.xml><?xml version="1.0" encoding="utf-8"?>
<clbl:labelList xmlns:clbl="http://schemas.microsoft.com/office/2020/mipLabelMetadata">
  <clbl:label id="{9847450c-4365-4e32-b26e-b73baa0ea04b}" enabled="0" method="" siteId="{9847450c-4365-4e32-b26e-b73baa0ea0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4420</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Links>
    <vt:vector size="12" baseType="variant">
      <vt:variant>
        <vt:i4>3932274</vt:i4>
      </vt:variant>
      <vt:variant>
        <vt:i4>3</vt:i4>
      </vt:variant>
      <vt:variant>
        <vt:i4>0</vt:i4>
      </vt:variant>
      <vt:variant>
        <vt:i4>5</vt:i4>
      </vt:variant>
      <vt:variant>
        <vt:lpwstr>Annual Security and Fire Safety Report</vt:lpwstr>
      </vt:variant>
      <vt:variant>
        <vt:lpwstr/>
      </vt:variant>
      <vt:variant>
        <vt:i4>4522010</vt:i4>
      </vt:variant>
      <vt:variant>
        <vt:i4>0</vt:i4>
      </vt:variant>
      <vt:variant>
        <vt:i4>0</vt:i4>
      </vt:variant>
      <vt:variant>
        <vt:i4>5</vt:i4>
      </vt:variant>
      <vt:variant>
        <vt:lpwstr>https://www.congress.gov/bill/118th-congress/house-bill/5646/text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Casey L</dc:creator>
  <cp:keywords/>
  <dc:description/>
  <cp:lastModifiedBy>Gross, Casey L</cp:lastModifiedBy>
  <cp:revision>3</cp:revision>
  <dcterms:created xsi:type="dcterms:W3CDTF">2025-11-26T12:37:00Z</dcterms:created>
  <dcterms:modified xsi:type="dcterms:W3CDTF">2025-12-04T05:30:00Z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9e7fb57c-f41b-416a-a251-0c47e8d8ff50</vt:lpwstr>
  </property>
</Properties>
</file>